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C77" w:rsidRPr="00C97C77" w:rsidRDefault="00C97C77" w:rsidP="00C97C77">
      <w:pPr>
        <w:spacing w:after="0" w:line="360" w:lineRule="atLeast"/>
        <w:textAlignment w:val="top"/>
        <w:outlineLvl w:val="0"/>
        <w:rPr>
          <w:rFonts w:ascii="Arial" w:eastAsia="Times New Roman" w:hAnsi="Arial" w:cs="Arial"/>
          <w:kern w:val="36"/>
          <w:sz w:val="36"/>
          <w:szCs w:val="36"/>
          <w:lang w:eastAsia="ro-RO"/>
        </w:rPr>
      </w:pPr>
      <w:hyperlink r:id="rId5" w:tgtFrame="_self" w:tooltip="Vă informăm că, în şedinţa Consiliului Superior al Magistraturii – Secţia Judecători – din 16 septembrie 2014 s-a aprobat în principiu Proiectul privind relaţiile dintre judecători şi avocaţi din perspectiva Avizului nr. 16 al Consiliului Consultativ al Judecătorilor Europeni." w:history="1">
        <w:r w:rsidRPr="00C97C77">
          <w:rPr>
            <w:rFonts w:ascii="Arial" w:eastAsia="Times New Roman" w:hAnsi="Arial" w:cs="Arial"/>
            <w:kern w:val="36"/>
            <w:sz w:val="36"/>
            <w:szCs w:val="36"/>
            <w:u w:val="single"/>
            <w:bdr w:val="none" w:sz="0" w:space="0" w:color="auto" w:frame="1"/>
            <w:lang w:eastAsia="ro-RO"/>
          </w:rPr>
          <w:t>Vă informăm că, în şedinţa Consiliului Superior al Magistraturii – Secţia Judecători – din 16 septembrie 2014 s-a aprobat în principiu Proiectul privind relaţiile dintre judecători şi avocaţi din perspectiva Avizului nr. 16 al Consiliului Consultativ al Judecătorilor Europeni.</w:t>
        </w:r>
      </w:hyperlink>
    </w:p>
    <w:p w:rsidR="00C97C77" w:rsidRPr="00C97C77" w:rsidRDefault="00C97C77" w:rsidP="00C97C77">
      <w:pPr>
        <w:spacing w:after="0" w:line="293" w:lineRule="atLeast"/>
        <w:jc w:val="right"/>
        <w:textAlignment w:val="top"/>
        <w:outlineLvl w:val="3"/>
        <w:rPr>
          <w:rFonts w:ascii="Arial" w:eastAsia="Times New Roman" w:hAnsi="Arial" w:cs="Arial"/>
          <w:sz w:val="29"/>
          <w:szCs w:val="29"/>
          <w:lang w:eastAsia="ro-RO"/>
        </w:rPr>
      </w:pPr>
      <w:r w:rsidRPr="00C97C77">
        <w:rPr>
          <w:rFonts w:ascii="Arial" w:eastAsia="Times New Roman" w:hAnsi="Arial" w:cs="Arial"/>
          <w:sz w:val="29"/>
          <w:szCs w:val="29"/>
          <w:lang w:eastAsia="ro-RO"/>
        </w:rPr>
        <w:t>publicat la data: 17.09.2014</w:t>
      </w:r>
    </w:p>
    <w:p w:rsidR="00C97C77" w:rsidRPr="00C97C77" w:rsidRDefault="00C97C77" w:rsidP="00C97C77">
      <w:pPr>
        <w:spacing w:after="0" w:line="240" w:lineRule="auto"/>
        <w:rPr>
          <w:rFonts w:ascii="Times New Roman" w:eastAsia="Times New Roman" w:hAnsi="Times New Roman" w:cs="Times New Roman"/>
          <w:sz w:val="24"/>
          <w:szCs w:val="24"/>
          <w:lang w:eastAsia="ro-RO"/>
        </w:rPr>
      </w:pPr>
    </w:p>
    <w:p w:rsidR="00C97C77" w:rsidRPr="00C97C77" w:rsidRDefault="00C97C77" w:rsidP="00C97C77">
      <w:pPr>
        <w:spacing w:after="300" w:line="240" w:lineRule="auto"/>
        <w:rPr>
          <w:rFonts w:ascii="Times New Roman" w:eastAsia="Times New Roman" w:hAnsi="Times New Roman" w:cs="Times New Roman"/>
          <w:sz w:val="24"/>
          <w:szCs w:val="24"/>
          <w:lang w:eastAsia="ro-RO"/>
        </w:rPr>
      </w:pPr>
      <w:r w:rsidRPr="00C97C77">
        <w:rPr>
          <w:rFonts w:ascii="Times New Roman" w:eastAsia="Times New Roman" w:hAnsi="Times New Roman" w:cs="Times New Roman"/>
          <w:sz w:val="24"/>
          <w:szCs w:val="24"/>
          <w:lang w:eastAsia="ro-RO"/>
        </w:rPr>
        <w:pict>
          <v:rect id="_x0000_i1025" style="width:0;height:.75pt" o:hralign="center" o:hrstd="t" o:hrnoshade="t" o:hr="t" fillcolor="#ededed" stroked="f"/>
        </w:pict>
      </w:r>
    </w:p>
    <w:p w:rsidR="00C97C77" w:rsidRPr="00C97C77" w:rsidRDefault="00C97C77" w:rsidP="00C97C77">
      <w:pPr>
        <w:spacing w:after="0" w:line="360" w:lineRule="atLeast"/>
        <w:textAlignment w:val="top"/>
        <w:rPr>
          <w:rFonts w:ascii="Arial" w:eastAsia="Times New Roman" w:hAnsi="Arial" w:cs="Arial"/>
          <w:sz w:val="21"/>
          <w:szCs w:val="21"/>
          <w:lang w:eastAsia="ro-RO"/>
        </w:rPr>
      </w:pPr>
      <w:r w:rsidRPr="00C97C77">
        <w:rPr>
          <w:rFonts w:ascii="Arial" w:eastAsia="Times New Roman" w:hAnsi="Arial" w:cs="Arial"/>
          <w:sz w:val="21"/>
          <w:szCs w:val="21"/>
          <w:lang w:eastAsia="ro-RO"/>
        </w:rPr>
        <w:t>Vă informăm că, în şedinţa Consiliului Superior al Magistraturii – Secţia Judecători – din 16 septembrie 2014 s-a aprobat </w:t>
      </w:r>
      <w:r w:rsidRPr="00C97C77">
        <w:rPr>
          <w:rFonts w:ascii="Arial" w:eastAsia="Times New Roman" w:hAnsi="Arial" w:cs="Arial"/>
          <w:i/>
          <w:iCs/>
          <w:sz w:val="21"/>
          <w:szCs w:val="21"/>
          <w:bdr w:val="none" w:sz="0" w:space="0" w:color="auto" w:frame="1"/>
          <w:lang w:eastAsia="ro-RO"/>
        </w:rPr>
        <w:t>în principiu</w:t>
      </w:r>
      <w:r w:rsidRPr="00C97C77">
        <w:rPr>
          <w:rFonts w:ascii="Arial" w:eastAsia="Times New Roman" w:hAnsi="Arial" w:cs="Arial"/>
          <w:sz w:val="21"/>
          <w:szCs w:val="21"/>
          <w:lang w:eastAsia="ro-RO"/>
        </w:rPr>
        <w:t> Proiectul privind relaţiile dintre judecători şi avocaţi din perspectiva </w:t>
      </w:r>
      <w:hyperlink r:id="rId6" w:tgtFrame="_self" w:history="1">
        <w:r w:rsidRPr="00C97C77">
          <w:rPr>
            <w:rFonts w:ascii="Arial" w:eastAsia="Times New Roman" w:hAnsi="Arial" w:cs="Arial"/>
            <w:sz w:val="21"/>
            <w:szCs w:val="21"/>
            <w:u w:val="single"/>
            <w:bdr w:val="none" w:sz="0" w:space="0" w:color="auto" w:frame="1"/>
            <w:lang w:eastAsia="ro-RO"/>
          </w:rPr>
          <w:t>Avizului nr. 16 al Consiliului Consultativ al Judecătorilor Europeni</w:t>
        </w:r>
      </w:hyperlink>
      <w:r w:rsidRPr="00C97C77">
        <w:rPr>
          <w:rFonts w:ascii="Arial" w:eastAsia="Times New Roman" w:hAnsi="Arial" w:cs="Arial"/>
          <w:sz w:val="21"/>
          <w:szCs w:val="21"/>
          <w:lang w:eastAsia="ro-RO"/>
        </w:rPr>
        <w:t>.</w:t>
      </w:r>
    </w:p>
    <w:p w:rsidR="00C97C77" w:rsidRPr="00C97C77" w:rsidRDefault="00C97C77" w:rsidP="00C97C77">
      <w:pPr>
        <w:spacing w:after="288" w:line="360" w:lineRule="atLeast"/>
        <w:textAlignment w:val="top"/>
        <w:rPr>
          <w:rFonts w:ascii="Arial" w:eastAsia="Times New Roman" w:hAnsi="Arial" w:cs="Arial"/>
          <w:sz w:val="21"/>
          <w:szCs w:val="21"/>
          <w:lang w:eastAsia="ro-RO"/>
        </w:rPr>
      </w:pPr>
      <w:r w:rsidRPr="00C97C77">
        <w:rPr>
          <w:rFonts w:ascii="Arial" w:eastAsia="Times New Roman" w:hAnsi="Arial" w:cs="Arial"/>
          <w:sz w:val="21"/>
          <w:szCs w:val="21"/>
          <w:lang w:eastAsia="ro-RO"/>
        </w:rPr>
        <w:t xml:space="preserve">Proiectul se va derula potrivit calendarului şi tematicii menţionate în cuprinsul acestuia, în condiţiile în care, U.N.B.R., I.N.P.P.A. şi barourile sunt co-organizatori, prin conlucrarea cu doamna magistrat dr. Aida Popa, judecător la Înalta Curte de Casaţie şi Justiţie, reprezentantul României la Consiliului Consultativ al Judecătorilor Europeni (CCJE), singura care va conlucra direct cu instanţele judecătoreşti pentru luarea măsurilor organizatorice de pregătire a acţiunilor </w:t>
      </w:r>
      <w:bookmarkStart w:id="0" w:name="_GoBack"/>
      <w:bookmarkEnd w:id="0"/>
      <w:r w:rsidRPr="00C97C77">
        <w:rPr>
          <w:rFonts w:ascii="Arial" w:eastAsia="Times New Roman" w:hAnsi="Arial" w:cs="Arial"/>
          <w:sz w:val="21"/>
          <w:szCs w:val="21"/>
          <w:lang w:eastAsia="ro-RO"/>
        </w:rPr>
        <w:t>incluse în proiect.</w:t>
      </w:r>
    </w:p>
    <w:p w:rsidR="00C97C77" w:rsidRPr="00C97C77" w:rsidRDefault="00C97C77" w:rsidP="00C97C77">
      <w:pPr>
        <w:spacing w:after="0" w:line="360" w:lineRule="atLeast"/>
        <w:textAlignment w:val="top"/>
        <w:rPr>
          <w:rFonts w:ascii="Arial" w:eastAsia="Times New Roman" w:hAnsi="Arial" w:cs="Arial"/>
          <w:sz w:val="21"/>
          <w:szCs w:val="21"/>
          <w:lang w:eastAsia="ro-RO"/>
        </w:rPr>
      </w:pPr>
      <w:r w:rsidRPr="00C97C77">
        <w:rPr>
          <w:rFonts w:ascii="Arial" w:eastAsia="Times New Roman" w:hAnsi="Arial" w:cs="Arial"/>
          <w:sz w:val="21"/>
          <w:szCs w:val="21"/>
          <w:lang w:eastAsia="ro-RO"/>
        </w:rPr>
        <w:t>Decanii barourilor, consilierii U.N.B.R., lectorii I.N.P.P.A. desemnaţi pentru susţinerea tematicilor abordate sunt rugaţi să-şi dea concursul, astfel încât Proiectul să se realizeze potrivit fundamentării sale iniţiale, adusă la cunoştinţa tuturor avocaţilor prin publicarea pe site-ul </w:t>
      </w:r>
      <w:hyperlink r:id="rId7" w:tgtFrame="_self" w:history="1">
        <w:r w:rsidRPr="00C97C77">
          <w:rPr>
            <w:rFonts w:ascii="Arial" w:eastAsia="Times New Roman" w:hAnsi="Arial" w:cs="Arial"/>
            <w:sz w:val="21"/>
            <w:szCs w:val="21"/>
            <w:u w:val="single"/>
            <w:bdr w:val="none" w:sz="0" w:space="0" w:color="auto" w:frame="1"/>
            <w:lang w:eastAsia="ro-RO"/>
          </w:rPr>
          <w:t>www.unbr.ro</w:t>
        </w:r>
      </w:hyperlink>
      <w:r w:rsidRPr="00C97C77">
        <w:rPr>
          <w:rFonts w:ascii="Arial" w:eastAsia="Times New Roman" w:hAnsi="Arial" w:cs="Arial"/>
          <w:sz w:val="21"/>
          <w:szCs w:val="21"/>
          <w:lang w:eastAsia="ro-RO"/>
        </w:rPr>
        <w:t> la 26 iunie 2014 şi în </w:t>
      </w:r>
      <w:hyperlink r:id="rId8" w:tgtFrame="_self" w:history="1">
        <w:r w:rsidRPr="00C97C77">
          <w:rPr>
            <w:rFonts w:ascii="Arial" w:eastAsia="Times New Roman" w:hAnsi="Arial" w:cs="Arial"/>
            <w:sz w:val="21"/>
            <w:szCs w:val="21"/>
            <w:u w:val="single"/>
            <w:bdr w:val="none" w:sz="0" w:space="0" w:color="auto" w:frame="1"/>
            <w:lang w:eastAsia="ro-RO"/>
          </w:rPr>
          <w:t>Buletinul Informativ al Consiliului Uniunii şi al Comisiei Permanente a U.N.B.R.</w:t>
        </w:r>
      </w:hyperlink>
      <w:r w:rsidRPr="00C97C77">
        <w:rPr>
          <w:rFonts w:ascii="Arial" w:eastAsia="Times New Roman" w:hAnsi="Arial" w:cs="Arial"/>
          <w:sz w:val="21"/>
          <w:szCs w:val="21"/>
          <w:lang w:eastAsia="ro-RO"/>
        </w:rPr>
        <w:t>.</w:t>
      </w:r>
    </w:p>
    <w:p w:rsidR="00F9017B" w:rsidRPr="00C97C77" w:rsidRDefault="00F9017B" w:rsidP="00C97C77"/>
    <w:sectPr w:rsidR="00F9017B" w:rsidRPr="00C97C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C77"/>
    <w:rsid w:val="00C97C77"/>
    <w:rsid w:val="00F901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7C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4">
    <w:name w:val="heading 4"/>
    <w:basedOn w:val="Normal"/>
    <w:link w:val="Heading4Char"/>
    <w:uiPriority w:val="9"/>
    <w:qFormat/>
    <w:rsid w:val="00C97C77"/>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C77"/>
    <w:rPr>
      <w:rFonts w:ascii="Times New Roman" w:eastAsia="Times New Roman" w:hAnsi="Times New Roman" w:cs="Times New Roman"/>
      <w:b/>
      <w:bCs/>
      <w:kern w:val="36"/>
      <w:sz w:val="48"/>
      <w:szCs w:val="48"/>
      <w:lang w:eastAsia="ro-RO"/>
    </w:rPr>
  </w:style>
  <w:style w:type="character" w:customStyle="1" w:styleId="Heading4Char">
    <w:name w:val="Heading 4 Char"/>
    <w:basedOn w:val="DefaultParagraphFont"/>
    <w:link w:val="Heading4"/>
    <w:uiPriority w:val="9"/>
    <w:rsid w:val="00C97C77"/>
    <w:rPr>
      <w:rFonts w:ascii="Times New Roman" w:eastAsia="Times New Roman" w:hAnsi="Times New Roman" w:cs="Times New Roman"/>
      <w:b/>
      <w:bCs/>
      <w:sz w:val="24"/>
      <w:szCs w:val="24"/>
      <w:lang w:eastAsia="ro-RO"/>
    </w:rPr>
  </w:style>
  <w:style w:type="character" w:styleId="Hyperlink">
    <w:name w:val="Hyperlink"/>
    <w:basedOn w:val="DefaultParagraphFont"/>
    <w:uiPriority w:val="99"/>
    <w:semiHidden/>
    <w:unhideWhenUsed/>
    <w:rsid w:val="00C97C77"/>
    <w:rPr>
      <w:color w:val="0000FF"/>
      <w:u w:val="single"/>
    </w:rPr>
  </w:style>
  <w:style w:type="paragraph" w:styleId="NormalWeb">
    <w:name w:val="Normal (Web)"/>
    <w:basedOn w:val="Normal"/>
    <w:uiPriority w:val="99"/>
    <w:semiHidden/>
    <w:unhideWhenUsed/>
    <w:rsid w:val="00C97C77"/>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converted-space">
    <w:name w:val="apple-converted-space"/>
    <w:basedOn w:val="DefaultParagraphFont"/>
    <w:rsid w:val="00C97C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7C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4">
    <w:name w:val="heading 4"/>
    <w:basedOn w:val="Normal"/>
    <w:link w:val="Heading4Char"/>
    <w:uiPriority w:val="9"/>
    <w:qFormat/>
    <w:rsid w:val="00C97C77"/>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C77"/>
    <w:rPr>
      <w:rFonts w:ascii="Times New Roman" w:eastAsia="Times New Roman" w:hAnsi="Times New Roman" w:cs="Times New Roman"/>
      <w:b/>
      <w:bCs/>
      <w:kern w:val="36"/>
      <w:sz w:val="48"/>
      <w:szCs w:val="48"/>
      <w:lang w:eastAsia="ro-RO"/>
    </w:rPr>
  </w:style>
  <w:style w:type="character" w:customStyle="1" w:styleId="Heading4Char">
    <w:name w:val="Heading 4 Char"/>
    <w:basedOn w:val="DefaultParagraphFont"/>
    <w:link w:val="Heading4"/>
    <w:uiPriority w:val="9"/>
    <w:rsid w:val="00C97C77"/>
    <w:rPr>
      <w:rFonts w:ascii="Times New Roman" w:eastAsia="Times New Roman" w:hAnsi="Times New Roman" w:cs="Times New Roman"/>
      <w:b/>
      <w:bCs/>
      <w:sz w:val="24"/>
      <w:szCs w:val="24"/>
      <w:lang w:eastAsia="ro-RO"/>
    </w:rPr>
  </w:style>
  <w:style w:type="character" w:styleId="Hyperlink">
    <w:name w:val="Hyperlink"/>
    <w:basedOn w:val="DefaultParagraphFont"/>
    <w:uiPriority w:val="99"/>
    <w:semiHidden/>
    <w:unhideWhenUsed/>
    <w:rsid w:val="00C97C77"/>
    <w:rPr>
      <w:color w:val="0000FF"/>
      <w:u w:val="single"/>
    </w:rPr>
  </w:style>
  <w:style w:type="paragraph" w:styleId="NormalWeb">
    <w:name w:val="Normal (Web)"/>
    <w:basedOn w:val="Normal"/>
    <w:uiPriority w:val="99"/>
    <w:semiHidden/>
    <w:unhideWhenUsed/>
    <w:rsid w:val="00C97C77"/>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converted-space">
    <w:name w:val="apple-converted-space"/>
    <w:basedOn w:val="DefaultParagraphFont"/>
    <w:rsid w:val="00C97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613749">
      <w:bodyDiv w:val="1"/>
      <w:marLeft w:val="0"/>
      <w:marRight w:val="0"/>
      <w:marTop w:val="0"/>
      <w:marBottom w:val="0"/>
      <w:divBdr>
        <w:top w:val="none" w:sz="0" w:space="0" w:color="auto"/>
        <w:left w:val="none" w:sz="0" w:space="0" w:color="auto"/>
        <w:bottom w:val="none" w:sz="0" w:space="0" w:color="auto"/>
        <w:right w:val="none" w:sz="0" w:space="0" w:color="auto"/>
      </w:divBdr>
      <w:divsChild>
        <w:div w:id="1826824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nbr.ro/ro/%E2%97%8F-s-a-inaintat-catre-csm-proiectul-fundamentarea-proiectului-privind-relatiile-dintre-judecatori-si-avocati-din-perspectiva-avizului-nr-16-al-consiliului-consultativ-al-judecatorilo/" TargetMode="External"/><Relationship Id="rId3" Type="http://schemas.openxmlformats.org/officeDocument/2006/relationships/settings" Target="settings.xml"/><Relationship Id="rId7" Type="http://schemas.openxmlformats.org/officeDocument/2006/relationships/hyperlink" Target="http://www.unbr.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nbr.ro/ro/%E2%97%8F-s-a-inaintat-catre-csm-proiectul-fundamentarea-proiectului-privind-relatiile-dintre-judecatori-si-avocati-din-perspectiva-avizului-nr-16-al-consiliului-consultativ-al-judecatorilo/" TargetMode="External"/><Relationship Id="rId5" Type="http://schemas.openxmlformats.org/officeDocument/2006/relationships/hyperlink" Target="http://unbr.ro/ro/va-informam-ca-in-sedinta-consiliului-superior-al-magistraturii-sectia-judecatori-din-16-septembrie-2014-s-a-aprobat-in-principiu-proiectul-privind-relatiile-dintre-judecatori-si-avocat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2159</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2014-09-17T17:38:00Z</dcterms:created>
  <dcterms:modified xsi:type="dcterms:W3CDTF">2014-09-17T17:39:00Z</dcterms:modified>
</cp:coreProperties>
</file>